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733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"https://www.tandfonline.com/doi/abs/10.1080/14786419.2021.1871906" </w:instrText>
      </w:r>
      <w:r w:rsidRPr="00FD733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FD73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Antileishmanial</w:t>
      </w:r>
      <w:proofErr w:type="spellEnd"/>
      <w:r w:rsidRPr="00FD73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 cytotoxic activity of secondary metabolites from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Taberneamontana</w:t>
      </w:r>
      <w:proofErr w:type="spellEnd"/>
      <w:r w:rsidRPr="00FD733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ventricosa</w:t>
      </w:r>
      <w:proofErr w:type="spellEnd"/>
      <w:r w:rsidRPr="00FD73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 two </w:t>
      </w:r>
      <w:r w:rsidRPr="00FD733F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aloe</w:t>
      </w:r>
      <w:r w:rsidRPr="00FD73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species</w:t>
      </w:r>
      <w:r w:rsidRPr="00FD733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Moses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Andima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Albert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Ndakala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Solomon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Derese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Sarkar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Biswajyoti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Aabid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Hussain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Li Jun Yang,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Otieno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Elsie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Akoth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Paolo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Coghi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Chiranjib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Pal, Matthias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Heydenreich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, Vincent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Kam-Wai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Wong,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Abiy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Yenesew</w:t>
      </w:r>
      <w:proofErr w:type="spellEnd"/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2021/1/5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Journal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Natural Product Research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1-5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Taylor &amp; Francis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>Description</w:t>
      </w:r>
    </w:p>
    <w:p w:rsidR="00FD733F" w:rsidRPr="00FD733F" w:rsidRDefault="00FD733F" w:rsidP="00FD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In this study, the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antileishmanial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and cytotoxic activities of secondary metabolites isolated from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Tabernaemontana</w:t>
      </w:r>
      <w:proofErr w:type="spellEnd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ventricosa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Hochst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D733F">
        <w:rPr>
          <w:rFonts w:ascii="Times New Roman" w:eastAsia="Times New Roman" w:hAnsi="Times New Roman" w:cs="Times New Roman"/>
          <w:sz w:val="24"/>
          <w:szCs w:val="24"/>
        </w:rPr>
        <w:t>ex</w:t>
      </w:r>
      <w:proofErr w:type="gram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A. DC., </w:t>
      </w:r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Aloe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tororoana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Reynolds, and </w:t>
      </w:r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Aloe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schweinfurthii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var.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labworana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Reynolds were investigated. Overall, nineteen known compounds were isolated from the three plant species. The compounds were characterized based on their spectroscopic data.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Voacristine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aloenin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were the most active compounds against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promastigotes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of antimony-sensitive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Leishmania</w:t>
      </w:r>
      <w:proofErr w:type="spellEnd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(IC</w:t>
      </w:r>
      <w:r w:rsidRPr="00FD73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11 ± 5.2 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and 26 ± 6.5 µM, respectively) with low toxicity against RAW264.7, murine monocyte/macrophage-like cells. The in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silico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docking evaluation and </w:t>
      </w:r>
      <w:r w:rsidRPr="00FD733F">
        <w:rPr>
          <w:rFonts w:ascii="Times New Roman" w:eastAsia="Times New Roman" w:hAnsi="Times New Roman" w:cs="Times New Roman"/>
          <w:i/>
          <w:iCs/>
          <w:sz w:val="24"/>
          <w:szCs w:val="24"/>
        </w:rPr>
        <w:t>in vitro</w:t>
      </w:r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NO generation assay also substantially support the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antileishmanial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effects of these compounds. In a cytotoxicity assay against cancer and normal cell lines, </w:t>
      </w:r>
      <w:proofErr w:type="spellStart"/>
      <w:r w:rsidRPr="00FD733F">
        <w:rPr>
          <w:rFonts w:ascii="Times New Roman" w:eastAsia="Times New Roman" w:hAnsi="Times New Roman" w:cs="Times New Roman"/>
          <w:sz w:val="24"/>
          <w:szCs w:val="24"/>
        </w:rPr>
        <w:t>ursolic</w:t>
      </w:r>
      <w:proofErr w:type="spellEnd"/>
      <w:r w:rsidRPr="00FD733F">
        <w:rPr>
          <w:rFonts w:ascii="Times New Roman" w:eastAsia="Times New Roman" w:hAnsi="Times New Roman" w:cs="Times New Roman"/>
          <w:sz w:val="24"/>
          <w:szCs w:val="24"/>
        </w:rPr>
        <w:t xml:space="preserve"> acid highly inhibited proliferation of lung cancer cells, A549 …</w:t>
      </w:r>
    </w:p>
    <w:p w:rsidR="00F50095" w:rsidRDefault="00F50095"/>
    <w:sectPr w:rsidR="00F5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3F"/>
    <w:rsid w:val="00F50095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3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7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2021-04-15T18:38:00Z</dcterms:created>
  <dcterms:modified xsi:type="dcterms:W3CDTF">2021-04-15T18:39:00Z</dcterms:modified>
</cp:coreProperties>
</file>